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194D41FE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514CDD">
        <w:rPr>
          <w:b/>
          <w:bCs/>
          <w:color w:val="000000"/>
          <w:szCs w:val="24"/>
        </w:rPr>
        <w:t xml:space="preserve">Budowa oświetlenia ulic: Norwida, Konopnickiej i Słońskiej w Ciechocinku </w:t>
      </w:r>
      <w:bookmarkStart w:id="0" w:name="_GoBack"/>
      <w:bookmarkEnd w:id="0"/>
      <w:r w:rsidR="00B53D95">
        <w:rPr>
          <w:b/>
          <w:bCs/>
          <w:color w:val="000000"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 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514CDD"/>
    <w:rsid w:val="00660E47"/>
    <w:rsid w:val="0075011F"/>
    <w:rsid w:val="007A7105"/>
    <w:rsid w:val="00B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11</cp:revision>
  <cp:lastPrinted>2019-02-06T07:55:00Z</cp:lastPrinted>
  <dcterms:created xsi:type="dcterms:W3CDTF">2018-06-05T09:04:00Z</dcterms:created>
  <dcterms:modified xsi:type="dcterms:W3CDTF">2020-01-03T08:42:00Z</dcterms:modified>
</cp:coreProperties>
</file>